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7B" w:rsidRPr="00E24E7B" w:rsidRDefault="00E24E7B" w:rsidP="00E24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7B">
        <w:rPr>
          <w:rFonts w:ascii="Times New Roman" w:eastAsia="Times New Roman" w:hAnsi="Times New Roman" w:cs="Times New Roman"/>
          <w:b/>
          <w:bCs/>
          <w:color w:val="0060A0"/>
          <w:sz w:val="24"/>
          <w:szCs w:val="24"/>
          <w:lang w:eastAsia="ru-RU"/>
        </w:rPr>
        <w:t>ПІДСТАВА ДЛЯ ВСТАНОВЛЕННЯ СТАТУСУ ЧЛЕНА СІМ’Ї ЗАГИБЛОГО (ПОМЕРЛОГО)</w:t>
      </w:r>
    </w:p>
    <w:p w:rsidR="00E24E7B" w:rsidRPr="00E24E7B" w:rsidRDefault="00E24E7B" w:rsidP="00E2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7B" w:rsidRPr="00E24E7B" w:rsidRDefault="00E24E7B" w:rsidP="00E2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 3551-XII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22.10.1993.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встановлюється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управліннями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місцем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реєстрації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громадянина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(тих,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безвісти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належать: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утриманці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батьки,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один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одружився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 не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стали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безвісти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24E7B" w:rsidRPr="00E24E7B" w:rsidRDefault="00E24E7B" w:rsidP="00E2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встановлення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відповідного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статусу:</w:t>
      </w:r>
    </w:p>
    <w:p w:rsidR="00E24E7B" w:rsidRPr="00E24E7B" w:rsidRDefault="00E24E7B" w:rsidP="00E2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підтверджували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особи рядового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особи рядового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члена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особи рядового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застосовуватись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Уряду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військовозобов’язаних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резервістів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перевірочні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рядового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начальницького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12.05.2007 № 707,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11.07.2007 № 908,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28.05.2008 № 499.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04.06.2008 № 605,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25.12.2013 № 975)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24E7B" w:rsidRPr="00E24E7B" w:rsidRDefault="00E24E7B" w:rsidP="00E2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Пільги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членам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загиблих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померлих</w:t>
      </w:r>
      <w:proofErr w:type="spellEnd"/>
      <w:r w:rsidRPr="00E2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24E7B" w:rsidRPr="00E24E7B" w:rsidRDefault="00E24E7B" w:rsidP="00E2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Закону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імунобіологічних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рецептами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зубопротезування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дорогоцінних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санаторно-курортного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санаторно-курортного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- 50-процентна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плата) в межах норм,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кв. метр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яка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кв. метра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- 50-процентна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(газом,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електроенергією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скрапленим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балонним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газом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в межах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розрахунках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21 кв. метр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яка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кв. метра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50-процентна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газом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 кв.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яка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та 21 кв. метр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- 50-процентна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межах норм,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пасажирського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приміського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автобусами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приміських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внутрірайонних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міжобласних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квартир;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поліклініками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госпіталями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прикріплені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лікувально-профілактичних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аптеках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час;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жилою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у тому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Особи,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жилою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E7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відводяться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першочерговому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порядку: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подвірних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благоустрій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позики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житлово-будівельних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садівницьких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безплатний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два роки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назад)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транспорту з 50-процентною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знижкою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50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Абонементна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оплати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міжміського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доглядом за ветераном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порядку і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конкурсом до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особам,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та членам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ними,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50-процентна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максимально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нормами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плати.</w:t>
      </w:r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довічне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грошове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виплачується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про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2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6"/>
    <w:rsid w:val="000B13EA"/>
    <w:rsid w:val="0017272E"/>
    <w:rsid w:val="00662C56"/>
    <w:rsid w:val="00E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2015-06-17T06:24:00Z</dcterms:created>
  <dcterms:modified xsi:type="dcterms:W3CDTF">2015-06-17T06:24:00Z</dcterms:modified>
</cp:coreProperties>
</file>