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82" w:rsidRDefault="00991382" w:rsidP="00991382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Механізм забезпечення учасників АТО санаторно-курортним лікуванням визначено Порядком використання коштів, передбачених у державному бюджеті на забезпечення постраждалих учасників антитерористичної операції санаторно-курортним лікуванням, затвердженим</w:t>
      </w:r>
      <w:r>
        <w:rPr>
          <w:rStyle w:val="apple-converted-space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hyperlink r:id="rId5" w:tgtFrame="_blank" w:history="1"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>постановою Кабінету Міністрів України від 31.03.2015 № 200.</w:t>
        </w:r>
      </w:hyperlink>
    </w:p>
    <w:p w:rsidR="00991382" w:rsidRDefault="00991382" w:rsidP="00991382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Дія цього Порядку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не поширюється на осіб</w:t>
      </w:r>
      <w:r>
        <w:rPr>
          <w:rFonts w:ascii="Helvetica" w:hAnsi="Helvetica" w:cs="Helvetica"/>
          <w:color w:val="444444"/>
          <w:sz w:val="21"/>
          <w:szCs w:val="21"/>
        </w:rPr>
        <w:t>, зазначених у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та Севастополі держадміністрацій, виконавчими органами міських рад, затвердженому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hyperlink r:id="rId6" w:tgtFrame="_blank" w:history="1">
        <w:r>
          <w:rPr>
            <w:rStyle w:val="a5"/>
            <w:rFonts w:ascii="Helvetica" w:hAnsi="Helvetica" w:cs="Helvetica"/>
            <w:color w:val="235FAB"/>
            <w:sz w:val="21"/>
            <w:szCs w:val="21"/>
            <w:bdr w:val="none" w:sz="0" w:space="0" w:color="auto" w:frame="1"/>
          </w:rPr>
          <w:t>постановою Кабінету Міністрів України від 22 лютого 2006 р. № 187</w:t>
        </w:r>
      </w:hyperlink>
      <w:r>
        <w:rPr>
          <w:rFonts w:ascii="Helvetica" w:hAnsi="Helvetica" w:cs="Helvetica"/>
          <w:color w:val="444444"/>
          <w:sz w:val="21"/>
          <w:szCs w:val="21"/>
        </w:rPr>
        <w:t>, та Порядку забезпечення санаторно-курортними путівками до санаторно-курортних закладів військовослужбовців, ветеранів війни, ветеранів військової служби, органів внутрішніх справ та деяких інших категорій осіб і членів їх сімей, затвердженому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hyperlink r:id="rId7" w:tgtFrame="_blank" w:history="1">
        <w:r>
          <w:rPr>
            <w:rStyle w:val="a5"/>
            <w:rFonts w:ascii="Helvetica" w:hAnsi="Helvetica" w:cs="Helvetica"/>
            <w:color w:val="235FAB"/>
            <w:sz w:val="21"/>
            <w:szCs w:val="21"/>
            <w:bdr w:val="none" w:sz="0" w:space="0" w:color="auto" w:frame="1"/>
          </w:rPr>
          <w:t>постановою Кабінету Міністрів України від 27 квітня 2011 р. № 446.</w:t>
        </w:r>
      </w:hyperlink>
    </w:p>
    <w:p w:rsidR="00991382" w:rsidRDefault="00991382" w:rsidP="00991382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Структурні підрозділи з питань соціального захисту населення районних, районних у м. Києві та Севастополі держадміністрацій, виконавчі органи міських рад (далі – органи соціального захисту населення) забезпечують осіб безоплатними путівками до санаторно-курортних закладів відповідно до цього Порядку згідно з медичними рекомендаціями в порядку черговості та в міру надходження путівок:</w:t>
      </w:r>
    </w:p>
    <w:p w:rsidR="00991382" w:rsidRDefault="00991382" w:rsidP="00991382">
      <w:pPr>
        <w:pStyle w:val="a3"/>
        <w:shd w:val="clear" w:color="auto" w:fill="F1F1F1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учасників бойових дій – щороку строком на 18-21 день;</w:t>
      </w:r>
      <w:r>
        <w:rPr>
          <w:rFonts w:ascii="Helvetica" w:hAnsi="Helvetica" w:cs="Helvetica"/>
          <w:color w:val="444444"/>
          <w:sz w:val="21"/>
          <w:szCs w:val="21"/>
        </w:rPr>
        <w:br/>
        <w:t>2) інвалідів війни – позачергово щороку строком на 18-21 день;</w:t>
      </w:r>
      <w:r>
        <w:rPr>
          <w:rFonts w:ascii="Helvetica" w:hAnsi="Helvetica" w:cs="Helvetica"/>
          <w:color w:val="444444"/>
          <w:sz w:val="21"/>
          <w:szCs w:val="21"/>
        </w:rPr>
        <w:br/>
        <w:t>3) інвалідів із захворюваннями нервової системи (з наслідками травм і захворюваннями хребта та спинного мозку) – відповідно до медичних рекомендацій, з них:</w:t>
      </w:r>
      <w:r>
        <w:rPr>
          <w:rFonts w:ascii="Helvetica" w:hAnsi="Helvetica" w:cs="Helvetica"/>
          <w:color w:val="444444"/>
          <w:sz w:val="21"/>
          <w:szCs w:val="21"/>
        </w:rPr>
        <w:br/>
        <w:t>I та II груп – до санаторіїв спінального профілю з лікуванням строком на 35 днів;</w:t>
      </w:r>
      <w:r>
        <w:rPr>
          <w:rFonts w:ascii="Helvetica" w:hAnsi="Helvetica" w:cs="Helvetica"/>
          <w:color w:val="444444"/>
          <w:sz w:val="21"/>
          <w:szCs w:val="21"/>
        </w:rPr>
        <w:br/>
        <w:t>III групи – до санаторіїв неврологічного профілю з лікуванням строком на 18-21 день.</w:t>
      </w:r>
      <w:r>
        <w:rPr>
          <w:rFonts w:ascii="Helvetica" w:hAnsi="Helvetica" w:cs="Helvetica"/>
          <w:color w:val="444444"/>
          <w:sz w:val="21"/>
          <w:szCs w:val="21"/>
        </w:rPr>
        <w:br/>
        <w:t>У разі коли особа має право на забезпечення путівкою за кількома законами, їй надається право вибору в забезпеченні путівкою за одним із них.</w:t>
      </w:r>
    </w:p>
    <w:p w:rsidR="00991382" w:rsidRDefault="00991382" w:rsidP="00991382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Куди звертатися: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до органу соціального захисту населення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за зареєстрованим місцем проживання або фактичним місцем проживання відповідно до довідки про взяття на облік (для осіб, що переселилися з тимчасово окупованої території).</w:t>
      </w:r>
    </w:p>
    <w:p w:rsidR="00991382" w:rsidRDefault="00991382" w:rsidP="00991382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Для взяття на облік особа чи її законний представник подає заяву, медичну довідку лікувальної установи за формою № 070/о, копію посвідчення учасника бойових дій або інваліда війни та документ, що підтверджує безпосереднє залучення особи до виконання завдань антитерористичної операції в районах її проведення.</w:t>
      </w:r>
    </w:p>
    <w:p w:rsidR="00991382" w:rsidRDefault="00991382" w:rsidP="00991382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Таким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документом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може бути один із нижчезазначених (оригінал або його копія):</w:t>
      </w:r>
      <w:r>
        <w:rPr>
          <w:rFonts w:ascii="Helvetica" w:hAnsi="Helvetica" w:cs="Helvetica"/>
          <w:color w:val="444444"/>
          <w:sz w:val="21"/>
          <w:szCs w:val="21"/>
        </w:rPr>
        <w:br/>
        <w:t>– наказ Антитерористичного центру при Службі безпеки України або інший документ, який підтверджує залучення керівництвом антитерористичної операції особи до виконання завдань антитерористичної операції в районах її проведення;</w:t>
      </w:r>
      <w:r>
        <w:rPr>
          <w:rFonts w:ascii="Helvetica" w:hAnsi="Helvetica" w:cs="Helvetica"/>
          <w:color w:val="444444"/>
          <w:sz w:val="21"/>
          <w:szCs w:val="21"/>
        </w:rPr>
        <w:br/>
        <w:t>– довідка про безпосередню участь особи в антитерористичній операції, згідно з додатком 1 або 2 до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затвердженого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hyperlink r:id="rId8" w:tgtFrame="_blank" w:history="1">
        <w:r>
          <w:rPr>
            <w:rStyle w:val="a5"/>
            <w:rFonts w:ascii="Helvetica" w:hAnsi="Helvetica" w:cs="Helvetica"/>
            <w:color w:val="235FAB"/>
            <w:sz w:val="21"/>
            <w:szCs w:val="21"/>
            <w:bdr w:val="none" w:sz="0" w:space="0" w:color="auto" w:frame="1"/>
          </w:rPr>
          <w:t>постановою Кабінету Міністрів України від 20 серпня 2014 р. № 413;</w:t>
        </w:r>
      </w:hyperlink>
      <w:r>
        <w:rPr>
          <w:rFonts w:ascii="Helvetica" w:hAnsi="Helvetica" w:cs="Helvetica"/>
          <w:color w:val="444444"/>
          <w:sz w:val="21"/>
          <w:szCs w:val="21"/>
        </w:rPr>
        <w:br/>
        <w:t>– рішення відомчої (міжвідомчої) комісії про встановлення особі статусу учасника бойових дій, як такій, що захищала незалежність, суверенітет та територіальну цілісність України і брали безпосередню участь в антитерористичній операції, забезпеченні її проведення;</w:t>
      </w:r>
      <w:r>
        <w:rPr>
          <w:rFonts w:ascii="Helvetica" w:hAnsi="Helvetica" w:cs="Helvetica"/>
          <w:color w:val="444444"/>
          <w:sz w:val="21"/>
          <w:szCs w:val="21"/>
        </w:rPr>
        <w:br/>
        <w:t>– довідка про обставини травми (для осіб, які отримали поранення внаслідок бойових дій в районі проведення антитерористичної операції);</w:t>
      </w:r>
      <w:r>
        <w:rPr>
          <w:rFonts w:ascii="Helvetica" w:hAnsi="Helvetica" w:cs="Helvetica"/>
          <w:color w:val="444444"/>
          <w:sz w:val="21"/>
          <w:szCs w:val="21"/>
        </w:rPr>
        <w:br/>
        <w:t>– витяг із протоколу засідання центральної військово-лікарської комісії про встановлення причинного зв’язку захворювань, поранень, контузій, травм, каліцтв у колишнього військовослужбовця (для осіб, яким встановлено інвалідність).</w:t>
      </w:r>
    </w:p>
    <w:p w:rsidR="00991382" w:rsidRDefault="00991382" w:rsidP="00991382">
      <w:pPr>
        <w:pStyle w:val="a3"/>
        <w:shd w:val="clear" w:color="auto" w:fill="F1F1F1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 разі неможливості учасника АТО надати один із вказаних документів, структурний підрозділ соціального захисту населення може надіслати до Служби запит, до якого додає список осіб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даного регіону за формою (додається), для отримання інформації з Єдиного державного реєстру учасників АТО щодо встановлення таким особам статусу учасника бойових дій.</w:t>
      </w:r>
      <w:r>
        <w:rPr>
          <w:rFonts w:ascii="Helvetica" w:hAnsi="Helvetica" w:cs="Helvetica"/>
          <w:color w:val="444444"/>
          <w:sz w:val="21"/>
          <w:szCs w:val="21"/>
        </w:rPr>
        <w:br/>
        <w:t>Під час подання копій посвідчень, передбачених абзацом першим пункту 5 Порядку, особи надають їх оригінали для огляду.</w:t>
      </w:r>
    </w:p>
    <w:p w:rsidR="00991382" w:rsidRDefault="00991382" w:rsidP="00991382">
      <w:pPr>
        <w:pStyle w:val="a3"/>
        <w:shd w:val="clear" w:color="auto" w:fill="F1F1F1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КОНТАКТНІ ДАНІ</w:t>
      </w:r>
      <w:r>
        <w:rPr>
          <w:rFonts w:ascii="Helvetica" w:hAnsi="Helvetica" w:cs="Helvetica"/>
          <w:color w:val="444444"/>
          <w:sz w:val="21"/>
          <w:szCs w:val="21"/>
        </w:rPr>
        <w:br/>
        <w:t>п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рацівників відділу забезпечення санаторно-курортним лікуванням та засобами реабілітації Державної служби України у справах ветеранів війни та учасників антитерористичної операції</w:t>
      </w:r>
    </w:p>
    <w:p w:rsidR="00991382" w:rsidRDefault="00991382" w:rsidP="00991382">
      <w:pPr>
        <w:pStyle w:val="a3"/>
        <w:shd w:val="clear" w:color="auto" w:fill="F1F1F1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(для надання інформації (консультацій)</w:t>
      </w:r>
    </w:p>
    <w:p w:rsidR="00991382" w:rsidRDefault="00991382" w:rsidP="00991382">
      <w:pPr>
        <w:pStyle w:val="a3"/>
        <w:shd w:val="clear" w:color="auto" w:fill="F1F1F1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Моха Олексій Юрійович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начальник відділу</w:t>
      </w:r>
      <w:r>
        <w:rPr>
          <w:rFonts w:ascii="Helvetica" w:hAnsi="Helvetica" w:cs="Helvetica"/>
          <w:color w:val="444444"/>
          <w:sz w:val="21"/>
          <w:szCs w:val="21"/>
        </w:rPr>
        <w:br/>
        <w:t>тел. 281-08-49</w:t>
      </w:r>
      <w:r>
        <w:rPr>
          <w:rFonts w:ascii="Helvetica" w:hAnsi="Helvetica" w:cs="Helvetica"/>
          <w:color w:val="444444"/>
          <w:sz w:val="21"/>
          <w:szCs w:val="21"/>
        </w:rPr>
        <w:br/>
        <w:t>тел./факс. 281-08-39; моб. т: (096)399-96-66</w:t>
      </w:r>
    </w:p>
    <w:p w:rsidR="00991382" w:rsidRDefault="00991382" w:rsidP="00991382">
      <w:pPr>
        <w:pStyle w:val="a3"/>
        <w:shd w:val="clear" w:color="auto" w:fill="F1F1F1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Шульга Ірина Леонідівна,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головний спеціаліст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Сосюра Аліна Миколаївна,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головний спеціаліст</w:t>
      </w:r>
    </w:p>
    <w:p w:rsidR="00991382" w:rsidRDefault="00991382" w:rsidP="00991382">
      <w:pPr>
        <w:pStyle w:val="a3"/>
        <w:shd w:val="clear" w:color="auto" w:fill="F1F1F1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тел. 281-08-49</w:t>
      </w:r>
    </w:p>
    <w:p w:rsidR="00991382" w:rsidRDefault="00991382" w:rsidP="00991382">
      <w:pPr>
        <w:pStyle w:val="a3"/>
        <w:shd w:val="clear" w:color="auto" w:fill="F1F1F1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Павлова Олена Олександрівна,</w:t>
      </w:r>
      <w:r>
        <w:rPr>
          <w:rStyle w:val="apple-converted-space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головний спеціаліст</w:t>
      </w:r>
    </w:p>
    <w:p w:rsidR="00991382" w:rsidRDefault="00991382" w:rsidP="00991382">
      <w:pPr>
        <w:pStyle w:val="a3"/>
        <w:shd w:val="clear" w:color="auto" w:fill="F1F1F1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тел. 281-08-55</w:t>
      </w:r>
    </w:p>
    <w:p w:rsidR="00991382" w:rsidRDefault="00991382" w:rsidP="00991382">
      <w:pPr>
        <w:pStyle w:val="a3"/>
        <w:shd w:val="clear" w:color="auto" w:fill="F1F1F1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E-mail: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dsiv_pilga@dsvv.gov.ua</w:t>
      </w:r>
    </w:p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7"/>
    <w:rsid w:val="000B13EA"/>
    <w:rsid w:val="0017272E"/>
    <w:rsid w:val="00991382"/>
    <w:rsid w:val="00B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382"/>
    <w:rPr>
      <w:b/>
      <w:bCs/>
    </w:rPr>
  </w:style>
  <w:style w:type="character" w:customStyle="1" w:styleId="apple-converted-space">
    <w:name w:val="apple-converted-space"/>
    <w:basedOn w:val="a0"/>
    <w:rsid w:val="00991382"/>
  </w:style>
  <w:style w:type="character" w:styleId="a5">
    <w:name w:val="Hyperlink"/>
    <w:basedOn w:val="a0"/>
    <w:uiPriority w:val="99"/>
    <w:semiHidden/>
    <w:unhideWhenUsed/>
    <w:rsid w:val="00991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382"/>
    <w:rPr>
      <w:b/>
      <w:bCs/>
    </w:rPr>
  </w:style>
  <w:style w:type="character" w:customStyle="1" w:styleId="apple-converted-space">
    <w:name w:val="apple-converted-space"/>
    <w:basedOn w:val="a0"/>
    <w:rsid w:val="00991382"/>
  </w:style>
  <w:style w:type="character" w:styleId="a5">
    <w:name w:val="Hyperlink"/>
    <w:basedOn w:val="a0"/>
    <w:uiPriority w:val="99"/>
    <w:semiHidden/>
    <w:unhideWhenUsed/>
    <w:rsid w:val="0099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13-2014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446-2011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87-2006-%D0%BF" TargetMode="External"/><Relationship Id="rId5" Type="http://schemas.openxmlformats.org/officeDocument/2006/relationships/hyperlink" Target="http://zakon5.rada.gov.ua/laws/show/200-2015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3</cp:revision>
  <dcterms:created xsi:type="dcterms:W3CDTF">2016-04-14T05:31:00Z</dcterms:created>
  <dcterms:modified xsi:type="dcterms:W3CDTF">2016-04-14T05:31:00Z</dcterms:modified>
</cp:coreProperties>
</file>