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EC" w:rsidRPr="007902EC" w:rsidRDefault="007902EC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7A47D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Гранти </w:t>
      </w:r>
      <w:r w:rsidRPr="007902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з організаційного розвитку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 (</w:t>
      </w:r>
      <w:r w:rsidRPr="007902E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ІСАР Єднання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)</w:t>
      </w:r>
    </w:p>
    <w:p w:rsidR="007902EC" w:rsidRDefault="007902EC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7902EC" w:rsidRPr="007902EC" w:rsidRDefault="007902EC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2EC">
        <w:rPr>
          <w:rFonts w:ascii="Times New Roman" w:hAnsi="Times New Roman" w:cs="Times New Roman"/>
          <w:sz w:val="26"/>
          <w:szCs w:val="26"/>
          <w:lang w:val="uk-UA"/>
        </w:rPr>
        <w:t>Грант з організаційного розвитку – це цільова безповоротна фінансова допомога, кошти якої спрямовуються на оплату послуг із зміцнення однієї з чотирьох сфер інституційної спроможності ОГС.</w:t>
      </w:r>
    </w:p>
    <w:p w:rsidR="007902EC" w:rsidRPr="007902EC" w:rsidRDefault="007902EC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2EC">
        <w:rPr>
          <w:rFonts w:ascii="Times New Roman" w:hAnsi="Times New Roman" w:cs="Times New Roman"/>
          <w:sz w:val="26"/>
          <w:szCs w:val="26"/>
          <w:lang w:val="uk-UA"/>
        </w:rPr>
        <w:t>Грантовий конкурс з організаційного розвитку ІСАР Єднання фінансується Агентством США з міжнародного розвитку (USAID) у межах проєкту </w:t>
      </w:r>
      <w:hyperlink r:id="rId7" w:history="1">
        <w:r w:rsidRPr="007902EC">
          <w:rPr>
            <w:rFonts w:ascii="Times New Roman" w:hAnsi="Times New Roman" w:cs="Times New Roman"/>
            <w:sz w:val="26"/>
            <w:szCs w:val="26"/>
            <w:lang w:val="uk-UA"/>
          </w:rPr>
          <w:t>“Ініціатива секторальної підтримки громадянського суспільства України”.</w:t>
        </w:r>
      </w:hyperlink>
    </w:p>
    <w:p w:rsidR="007902EC" w:rsidRPr="007902EC" w:rsidRDefault="007902EC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2E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Кошти цього гранту можуть бути використані на оплату послуг тренерів, консультантів, </w:t>
      </w:r>
      <w:proofErr w:type="spellStart"/>
      <w:r w:rsidRPr="007902EC">
        <w:rPr>
          <w:rFonts w:ascii="Times New Roman" w:hAnsi="Times New Roman" w:cs="Times New Roman"/>
          <w:bCs/>
          <w:sz w:val="26"/>
          <w:szCs w:val="26"/>
          <w:lang w:val="uk-UA"/>
        </w:rPr>
        <w:t>коучів</w:t>
      </w:r>
      <w:proofErr w:type="spellEnd"/>
      <w:r w:rsidRPr="007902E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чи менторів. Послуги мають бути спрямовані на зміцнення або основних організаційних спроможностей, або отримання спеціальних навичок, які дозволяють ОГС ставати більш ефективними, незалежними та життєздатними.</w:t>
      </w:r>
    </w:p>
    <w:p w:rsidR="007902EC" w:rsidRPr="007902EC" w:rsidRDefault="007902EC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2EC">
        <w:rPr>
          <w:rFonts w:ascii="Times New Roman" w:hAnsi="Times New Roman" w:cs="Times New Roman"/>
          <w:sz w:val="26"/>
          <w:szCs w:val="26"/>
          <w:lang w:val="uk-UA"/>
        </w:rPr>
        <w:t>Прийом заявок на наступне засідання Відбіркової комісії триватиме </w:t>
      </w:r>
      <w:r w:rsidRPr="007902EC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7902EC">
        <w:rPr>
          <w:rFonts w:ascii="Times New Roman" w:hAnsi="Times New Roman" w:cs="Times New Roman"/>
          <w:b/>
          <w:bCs/>
          <w:sz w:val="26"/>
          <w:szCs w:val="26"/>
          <w:lang w:val="uk-UA"/>
        </w:rPr>
        <w:t>до</w:t>
      </w:r>
      <w:proofErr w:type="spellEnd"/>
      <w:r w:rsidRPr="007902EC">
        <w:rPr>
          <w:rFonts w:ascii="Times New Roman" w:hAnsi="Times New Roman" w:cs="Times New Roman"/>
          <w:b/>
          <w:bCs/>
          <w:sz w:val="26"/>
          <w:szCs w:val="26"/>
          <w:lang w:val="uk-UA"/>
        </w:rPr>
        <w:t> 13 січня 2022</w:t>
      </w:r>
      <w:r w:rsidRPr="007902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року</w:t>
      </w:r>
      <w:r w:rsidRPr="007902EC">
        <w:rPr>
          <w:rFonts w:ascii="Times New Roman" w:hAnsi="Times New Roman" w:cs="Times New Roman"/>
          <w:b/>
          <w:bCs/>
          <w:sz w:val="26"/>
          <w:szCs w:val="26"/>
          <w:lang w:val="uk-UA"/>
        </w:rPr>
        <w:t>.</w: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t> </w:t>
      </w:r>
    </w:p>
    <w:p w:rsidR="007902EC" w:rsidRPr="007902EC" w:rsidRDefault="007902EC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2EC">
        <w:rPr>
          <w:rFonts w:ascii="Times New Roman" w:hAnsi="Times New Roman" w:cs="Times New Roman"/>
          <w:sz w:val="26"/>
          <w:szCs w:val="26"/>
          <w:lang w:val="uk-UA"/>
        </w:rPr>
        <w:t>Ознайомитися з процедурою подачі заявки на грант можна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посиланням: </w:t>
      </w:r>
      <w:hyperlink r:id="rId8" w:history="1">
        <w:r w:rsidRPr="00940C82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http://ednannia.ua/147-anonsi/12063-pryimaiemo-zaiavky-na-konkurs-hrantiv-z-orhanizatsiinoho-rozvytku</w:t>
        </w:r>
      </w:hyperlink>
      <w:r w:rsidR="005A4400" w:rsidRPr="005A4400">
        <w:rPr>
          <w:rFonts w:ascii="Times New Roman" w:hAnsi="Times New Roman" w:cs="Times New Roman"/>
          <w:sz w:val="26"/>
          <w:szCs w:val="26"/>
          <w:lang w:val="uk-UA"/>
        </w:rPr>
        <w:t>, а також</w:t>
      </w:r>
      <w:r w:rsidR="005A4400" w:rsidRPr="005A4400">
        <w:t xml:space="preserve"> </w:t>
      </w:r>
      <w:r w:rsidR="005A4400" w:rsidRPr="005A4400">
        <w:rPr>
          <w:rFonts w:ascii="Times New Roman" w:hAnsi="Times New Roman" w:cs="Times New Roman"/>
          <w:sz w:val="26"/>
          <w:szCs w:val="26"/>
          <w:lang w:val="uk-UA"/>
        </w:rPr>
        <w:t>перегляну</w:t>
      </w:r>
      <w:r w:rsidR="005A4400" w:rsidRPr="005A4400">
        <w:rPr>
          <w:rFonts w:ascii="Times New Roman" w:hAnsi="Times New Roman" w:cs="Times New Roman"/>
          <w:sz w:val="26"/>
          <w:szCs w:val="26"/>
          <w:lang w:val="uk-UA"/>
        </w:rPr>
        <w:t>вши</w:t>
      </w:r>
      <w:r w:rsidR="005A4400" w:rsidRPr="005A44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5A4400" w:rsidRPr="005A4400">
        <w:rPr>
          <w:rFonts w:ascii="Times New Roman" w:hAnsi="Times New Roman" w:cs="Times New Roman"/>
          <w:sz w:val="26"/>
          <w:szCs w:val="26"/>
          <w:lang w:val="uk-UA"/>
        </w:rPr>
        <w:t>вебінар</w:t>
      </w:r>
      <w:proofErr w:type="spellEnd"/>
      <w:r w:rsidR="005A4400" w:rsidRPr="005A440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5A44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r w:rsidR="005A4400">
        <w:rPr>
          <w:rFonts w:ascii="Times New Roman" w:hAnsi="Times New Roman" w:cs="Times New Roman"/>
          <w:sz w:val="26"/>
          <w:szCs w:val="26"/>
          <w:lang w:val="uk-UA"/>
        </w:rPr>
        <w:fldChar w:fldCharType="begin"/>
      </w:r>
      <w:r w:rsidR="005A4400">
        <w:rPr>
          <w:rFonts w:ascii="Times New Roman" w:hAnsi="Times New Roman" w:cs="Times New Roman"/>
          <w:sz w:val="26"/>
          <w:szCs w:val="26"/>
          <w:lang w:val="uk-UA"/>
        </w:rPr>
        <w:instrText xml:space="preserve"> HYPERLINK "</w:instrText>
      </w:r>
      <w:r w:rsidR="005A4400" w:rsidRPr="005A4400">
        <w:rPr>
          <w:rFonts w:ascii="Times New Roman" w:hAnsi="Times New Roman" w:cs="Times New Roman"/>
          <w:sz w:val="26"/>
          <w:szCs w:val="26"/>
          <w:lang w:val="uk-UA"/>
        </w:rPr>
        <w:instrText>https://youtu.be/oumyj-MGj88</w:instrText>
      </w:r>
      <w:r w:rsidR="005A4400">
        <w:rPr>
          <w:rFonts w:ascii="Times New Roman" w:hAnsi="Times New Roman" w:cs="Times New Roman"/>
          <w:sz w:val="26"/>
          <w:szCs w:val="26"/>
          <w:lang w:val="uk-UA"/>
        </w:rPr>
        <w:instrText xml:space="preserve">" </w:instrText>
      </w:r>
      <w:r w:rsidR="005A4400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5A4400" w:rsidRPr="00940C82">
        <w:rPr>
          <w:rStyle w:val="a3"/>
          <w:rFonts w:ascii="Times New Roman" w:hAnsi="Times New Roman" w:cs="Times New Roman"/>
          <w:sz w:val="26"/>
          <w:szCs w:val="26"/>
          <w:lang w:val="uk-UA"/>
        </w:rPr>
        <w:t>https://youtu.be/oumyj-MGj88</w:t>
      </w:r>
      <w:r w:rsidR="005A4400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0"/>
      <w:r w:rsidR="005A44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fldChar w:fldCharType="begin"/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instrText xml:space="preserve"> HYPERLINK "http://ednannia.ua/147-anonsi/12063-pryimaiemo-zaiavky-na-konkurs-hrantiv-z-orhanizatsiinoho-rozvytku" </w:instrText>
      </w:r>
      <w:r w:rsidRPr="007902EC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:rsidR="007902EC" w:rsidRPr="007902EC" w:rsidRDefault="007902EC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2EC">
        <w:rPr>
          <w:rFonts w:ascii="Times New Roman" w:hAnsi="Times New Roman" w:cs="Times New Roman"/>
          <w:sz w:val="26"/>
          <w:szCs w:val="26"/>
          <w:lang w:val="uk-UA"/>
        </w:rPr>
        <w:t>Під організаційним розвитком слід розуміти  розвиток чотирьох спроможностей:</w:t>
      </w:r>
    </w:p>
    <w:p w:rsidR="007902EC" w:rsidRPr="007902EC" w:rsidRDefault="007902EC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902EC" w:rsidRDefault="007902EC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010297"/>
            <wp:effectExtent l="0" t="0" r="3175" b="0"/>
            <wp:docPr id="1" name="Рисунок 1" descr="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7902EC" w:rsidRDefault="007902EC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</w:pPr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Детальне </w:t>
      </w:r>
      <w:r w:rsidRPr="00790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“</w:t>
      </w:r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Запрошення до участі</w:t>
      </w:r>
      <w:r w:rsidRPr="00790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”</w:t>
      </w:r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790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(</w:t>
      </w:r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додається в електронному форматі</w:t>
      </w:r>
      <w:r w:rsidRPr="00790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</w:t>
      </w:r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можна завантажити</w:t>
      </w:r>
      <w:r w:rsidRPr="00790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 посиланням</w:t>
      </w:r>
      <w:r w:rsidRPr="00790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  <w:t>(</w:t>
      </w:r>
      <w:hyperlink r:id="rId10" w:history="1">
        <w:r w:rsidRPr="00940C82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http://ednannia.ua/images/Call_for_proposals_MARKETPLACE_2021.pdf</w:t>
        </w:r>
      </w:hyperlink>
      <w:r w:rsidRPr="007A5F4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  <w:t>).</w:t>
      </w:r>
    </w:p>
    <w:p w:rsidR="007902EC" w:rsidRDefault="007F1DDF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7F1D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lastRenderedPageBreak/>
        <w:t>Кількість грантів, які може отримати ОГС у межах цього конкурсу грантів не обмежується. Заявка на отримання наступного гранту приймається до розгляду тільки після повного затвердження фінансового й змістовного звітів за попередній грант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7F1DDF" w:rsidRPr="007F1DDF" w:rsidRDefault="007F1DDF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7902EC" w:rsidRDefault="007902EC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  <w:r w:rsidRPr="007902E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Види грантів з організаційного розвитку ОГС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:</w:t>
      </w:r>
    </w:p>
    <w:p w:rsidR="007902EC" w:rsidRDefault="007902EC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tbl>
      <w:tblPr>
        <w:tblStyle w:val="a8"/>
        <w:tblW w:w="10774" w:type="dxa"/>
        <w:tblInd w:w="-885" w:type="dxa"/>
        <w:tblLook w:val="04A0" w:firstRow="1" w:lastRow="0" w:firstColumn="1" w:lastColumn="0" w:noHBand="0" w:noVBand="1"/>
      </w:tblPr>
      <w:tblGrid>
        <w:gridCol w:w="1612"/>
        <w:gridCol w:w="1791"/>
        <w:gridCol w:w="3124"/>
        <w:gridCol w:w="4247"/>
      </w:tblGrid>
      <w:tr w:rsidR="007902EC" w:rsidTr="008C70AD">
        <w:trPr>
          <w:tblHeader/>
        </w:trPr>
        <w:tc>
          <w:tcPr>
            <w:tcW w:w="1612" w:type="dxa"/>
          </w:tcPr>
          <w:p w:rsidR="007902EC" w:rsidRDefault="007902EC" w:rsidP="001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  <w:t>Назва</w:t>
            </w:r>
          </w:p>
        </w:tc>
        <w:tc>
          <w:tcPr>
            <w:tcW w:w="1791" w:type="dxa"/>
          </w:tcPr>
          <w:p w:rsidR="007902EC" w:rsidRDefault="007902EC" w:rsidP="001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  <w:t>Сума гранту</w:t>
            </w:r>
          </w:p>
        </w:tc>
        <w:tc>
          <w:tcPr>
            <w:tcW w:w="3124" w:type="dxa"/>
          </w:tcPr>
          <w:p w:rsidR="007902EC" w:rsidRPr="007902EC" w:rsidRDefault="007902EC" w:rsidP="001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  <w:t>Спрямування</w:t>
            </w:r>
          </w:p>
        </w:tc>
        <w:tc>
          <w:tcPr>
            <w:tcW w:w="4247" w:type="dxa"/>
          </w:tcPr>
          <w:p w:rsidR="007902EC" w:rsidRDefault="007902EC" w:rsidP="001426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  <w:t>Умови надання</w:t>
            </w:r>
          </w:p>
        </w:tc>
      </w:tr>
      <w:tr w:rsidR="007902EC" w:rsidRPr="007902EC" w:rsidTr="008C70AD">
        <w:tc>
          <w:tcPr>
            <w:tcW w:w="1612" w:type="dxa"/>
          </w:tcPr>
          <w:p w:rsidR="007902EC" w:rsidRPr="007902EC" w:rsidRDefault="007902EC" w:rsidP="007902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Простий грант</w:t>
            </w:r>
          </w:p>
        </w:tc>
        <w:tc>
          <w:tcPr>
            <w:tcW w:w="1791" w:type="dxa"/>
          </w:tcPr>
          <w:p w:rsidR="00F57894" w:rsidRDefault="007902EC" w:rsidP="00F57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сума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еквівалент </w:t>
            </w:r>
          </w:p>
          <w:p w:rsidR="007902EC" w:rsidRPr="007902EC" w:rsidRDefault="007902EC" w:rsidP="00F57894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</w:t>
            </w:r>
          </w:p>
        </w:tc>
        <w:tc>
          <w:tcPr>
            <w:tcW w:w="3124" w:type="dxa"/>
          </w:tcPr>
          <w:p w:rsidR="007902EC" w:rsidRPr="00F57894" w:rsidRDefault="007902EC" w:rsidP="00F578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Покриття витрат ОГС, пов’язаних з отриманням однієї або максимум двох послуг з організаційного розвитку</w:t>
            </w:r>
            <w:r w:rsid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для: </w:t>
            </w:r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</w:t>
            </w:r>
            <w:r w:rsidRPr="00F57894">
              <w:rPr>
                <w:lang w:val="uk-UA"/>
              </w:rPr>
              <w:t xml:space="preserve"> </w:t>
            </w:r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стратегічного плану ОГС</w:t>
            </w:r>
            <w:r w:rsidR="00F57894"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отримання консультації щодо імплементації розробленого організацією раніше стратегічного плану</w:t>
            </w:r>
            <w:r w:rsid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 для проведення тренінгу працівникам організації.</w:t>
            </w:r>
          </w:p>
        </w:tc>
        <w:tc>
          <w:tcPr>
            <w:tcW w:w="4247" w:type="dxa"/>
          </w:tcPr>
          <w:p w:rsidR="007902EC" w:rsidRPr="00F57894" w:rsidRDefault="00F57894" w:rsidP="001426C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самооцінки з організаційного розвитку (для цього треба скористатися </w:t>
            </w:r>
            <w:proofErr w:type="spellStart"/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інструментом самооцінки на сайті ІСАР Єднання</w:t>
            </w:r>
            <w:r w:rsidR="0014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hyperlink r:id="rId11" w:history="1">
              <w:r w:rsidR="00DA4E88" w:rsidRPr="00940C8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http://ednannia.ua/our-programs-and-activities/12164-tablitsya</w:t>
              </w:r>
            </w:hyperlink>
            <w:r w:rsidR="00DA4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скласти план розвитку</w:t>
            </w:r>
            <w:r w:rsidR="0014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(також додаються в електронному форматі)</w:t>
            </w:r>
            <w:r w:rsidRPr="00F57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Самооцінка, результати якої поєднуються до заявки, повинна бути проведена щонайпізніше за півроку до дня подачі заявки на цей вид гранту.</w:t>
            </w:r>
          </w:p>
        </w:tc>
      </w:tr>
      <w:tr w:rsidR="001426C1" w:rsidTr="008C70AD">
        <w:tc>
          <w:tcPr>
            <w:tcW w:w="1612" w:type="dxa"/>
          </w:tcPr>
          <w:p w:rsidR="001426C1" w:rsidRDefault="001426C1" w:rsidP="007902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1426C1">
              <w:rPr>
                <w:rFonts w:ascii="Times New Roman" w:hAnsi="Times New Roman" w:cs="Times New Roman"/>
                <w:sz w:val="24"/>
                <w:szCs w:val="24"/>
              </w:rPr>
              <w:t xml:space="preserve">Грант для </w:t>
            </w:r>
            <w:proofErr w:type="spellStart"/>
            <w:r w:rsidRPr="001426C1">
              <w:rPr>
                <w:rFonts w:ascii="Times New Roman" w:hAnsi="Times New Roman" w:cs="Times New Roman"/>
                <w:sz w:val="24"/>
                <w:szCs w:val="24"/>
              </w:rPr>
              <w:t>зовнішньої</w:t>
            </w:r>
            <w:proofErr w:type="spellEnd"/>
            <w:r w:rsidRPr="00142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6C1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1791" w:type="dxa"/>
          </w:tcPr>
          <w:p w:rsidR="001426C1" w:rsidRDefault="001426C1" w:rsidP="001426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сума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6C1" w:rsidRPr="007902EC" w:rsidRDefault="001426C1" w:rsidP="001426C1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</w:t>
            </w:r>
          </w:p>
        </w:tc>
        <w:tc>
          <w:tcPr>
            <w:tcW w:w="3124" w:type="dxa"/>
          </w:tcPr>
          <w:p w:rsidR="001426C1" w:rsidRPr="001426C1" w:rsidRDefault="001426C1" w:rsidP="001426C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14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окриття витрат, пов</w:t>
            </w:r>
            <w:r w:rsidRPr="0014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’язаних із здійсненням фасилітованої оцінки рівня організаційного розвитку ОГС та складанням плану організаційного розвитку ОГС із </w:t>
            </w:r>
            <w:proofErr w:type="spellStart"/>
            <w:r w:rsidRPr="0014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вказанням</w:t>
            </w:r>
            <w:proofErr w:type="spellEnd"/>
            <w:r w:rsidRPr="0014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пріоритетних сфер розвитку. Провайдер, який здійснюватиме зовнішню самооцінку за цим грантом, має володіти методикою відповідної оцінки.</w:t>
            </w:r>
          </w:p>
        </w:tc>
        <w:tc>
          <w:tcPr>
            <w:tcW w:w="4247" w:type="dxa"/>
          </w:tcPr>
          <w:p w:rsidR="001426C1" w:rsidRDefault="001426C1" w:rsidP="00C570B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отримання гранту для зовнішньої оцінки ОГС необхідно провести самооцінку з організаційного розвитку (для цього треба скористатися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інструментом самооцінки на сайті ІСАР Єднання</w:t>
            </w:r>
            <w:r w:rsid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hyperlink r:id="rId12" w:history="1">
              <w:r w:rsidR="00F119D3" w:rsidRPr="00940C8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http://ednannia.ua/our-programs-and-activities/12164-tablitsya</w:t>
              </w:r>
            </w:hyperlink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11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скласти план розвитку</w:t>
            </w:r>
            <w:r w:rsid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(також додаються в електронному форматі)</w:t>
            </w: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Самооцінка, результати якої поєднуються до заявки, повинна бути проведена щонайпізніше за півроку до дня подачі заявки на цей вид гранту</w:t>
            </w:r>
          </w:p>
        </w:tc>
      </w:tr>
      <w:tr w:rsidR="001426C1" w:rsidTr="008C70AD">
        <w:tc>
          <w:tcPr>
            <w:tcW w:w="1612" w:type="dxa"/>
          </w:tcPr>
          <w:p w:rsidR="001426C1" w:rsidRDefault="00C570BC" w:rsidP="007902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>Комплексний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791" w:type="dxa"/>
          </w:tcPr>
          <w:p w:rsidR="00C570BC" w:rsidRDefault="00C570BC" w:rsidP="00C57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сума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6C1" w:rsidRDefault="00C570BC" w:rsidP="00C570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</w:t>
            </w:r>
          </w:p>
        </w:tc>
        <w:tc>
          <w:tcPr>
            <w:tcW w:w="3124" w:type="dxa"/>
          </w:tcPr>
          <w:p w:rsidR="001426C1" w:rsidRPr="00C570BC" w:rsidRDefault="00C570BC" w:rsidP="00C570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організації, яка має засвідчений досвід роботи понад 4 роки і яка здійснила зовнішню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фасилітовану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оцінку свого рівня організаційного розвитку. Для здійснення такої зовнішньої оцінки ОГС заохочуються подаватися на “Грант для зовнішньої оцінки” цього конкурсу грантів. ОГС також можуть здійснювати зовнішню оцінку за власний рахунок. </w:t>
            </w:r>
          </w:p>
        </w:tc>
        <w:tc>
          <w:tcPr>
            <w:tcW w:w="4247" w:type="dxa"/>
          </w:tcPr>
          <w:p w:rsidR="001426C1" w:rsidRPr="00C570BC" w:rsidRDefault="00C570BC" w:rsidP="00C570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отримання комплексного гранту ОГС необхідно провести зовнішню оцінку з організаційного розвитку та скласти разом із Провайдером план розвитку. Результати зовнішньої оцінки, отримані протягом року до моменту подачі заявки на грант, можуть бути подані в межах цього типу грантів</w:t>
            </w:r>
          </w:p>
        </w:tc>
      </w:tr>
      <w:tr w:rsidR="001426C1" w:rsidTr="008C70AD">
        <w:tc>
          <w:tcPr>
            <w:tcW w:w="1612" w:type="dxa"/>
          </w:tcPr>
          <w:p w:rsidR="001426C1" w:rsidRPr="00C570BC" w:rsidRDefault="00C570BC" w:rsidP="007902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 w:eastAsia="ru-RU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</w:rPr>
              <w:t xml:space="preserve">Грант для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91" w:type="dxa"/>
          </w:tcPr>
          <w:p w:rsidR="00C570BC" w:rsidRDefault="00C570BC" w:rsidP="00C57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сума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6C1" w:rsidRDefault="00C570BC" w:rsidP="00C570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10 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</w:t>
            </w:r>
          </w:p>
        </w:tc>
        <w:tc>
          <w:tcPr>
            <w:tcW w:w="3124" w:type="dxa"/>
          </w:tcPr>
          <w:p w:rsidR="001426C1" w:rsidRPr="00C570BC" w:rsidRDefault="00C570BC" w:rsidP="00C570B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Грант для групи організацій дозволяє декільком організаціям або </w:t>
            </w: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ініціативним групам (не менше 3х) об’єднати свої ресурси та отримати потрібну послугу з організаційного розвитку спільно.</w:t>
            </w:r>
          </w:p>
        </w:tc>
        <w:tc>
          <w:tcPr>
            <w:tcW w:w="4247" w:type="dxa"/>
          </w:tcPr>
          <w:p w:rsidR="001426C1" w:rsidRPr="00C570BC" w:rsidRDefault="00C570BC" w:rsidP="00C570B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Для отримання такого гранту кожна організація-учасник групи має вивчити потреби власної організації та </w:t>
            </w: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провести самооцінку організаційного розвитку, скориставшись відповідним інструментом на сайті ІСАР Єднання. Цю групу організацій має об’єднувати спільна(і) потреба(и) в організаційному розвитку. Група організацій також повинна визначити організацію-координатора для подальшої комунікації з ІСАР Єднання.</w:t>
            </w:r>
          </w:p>
        </w:tc>
      </w:tr>
      <w:tr w:rsidR="001426C1" w:rsidTr="008C70AD">
        <w:tc>
          <w:tcPr>
            <w:tcW w:w="1612" w:type="dxa"/>
          </w:tcPr>
          <w:p w:rsidR="001426C1" w:rsidRDefault="00C570BC" w:rsidP="007902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Грант для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>візиту</w:t>
            </w:r>
            <w:proofErr w:type="spellEnd"/>
          </w:p>
        </w:tc>
        <w:tc>
          <w:tcPr>
            <w:tcW w:w="1791" w:type="dxa"/>
          </w:tcPr>
          <w:p w:rsidR="001426C1" w:rsidRDefault="00C570BC" w:rsidP="00C570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сума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</w:t>
            </w:r>
          </w:p>
        </w:tc>
        <w:tc>
          <w:tcPr>
            <w:tcW w:w="3124" w:type="dxa"/>
          </w:tcPr>
          <w:p w:rsidR="001426C1" w:rsidRDefault="00C570BC" w:rsidP="00C570B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озволяє ОГС вивчити та застосувати досвід інших організацій, які досягли успіху в розвитку інституційної спроможності. Тема навчального візиту може стосуватись будь якої сфери організаційного розвитку, але перевага надаватиметься проектам для підвищення життєздатності та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самозарадності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ОГС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кошти цього гранту можуть покриватися винятково навчальні поїздки в межах України.</w:t>
            </w:r>
          </w:p>
        </w:tc>
        <w:tc>
          <w:tcPr>
            <w:tcW w:w="4247" w:type="dxa"/>
          </w:tcPr>
          <w:p w:rsidR="001426C1" w:rsidRPr="00C570BC" w:rsidRDefault="00C570BC" w:rsidP="00C570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отримання такого гранту необхідно провести самооцінку з організаційного розвитку (скористатися </w:t>
            </w:r>
            <w:proofErr w:type="spellStart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C57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інструментом самооцінки на сайті ІСАР Єднання); скласти план розвитку та надати обґрунтування необхідності здійснення навчального візиту у відповідності до плану розвитку організації; надати запрошення від партнерської сторони та детальну програму навчального візиту. Самооцінка, результати якої поєднуються до заявки, повинна бути проведена щонайпізніше за півроку до дня подачі заявки на цей вид гранту.</w:t>
            </w:r>
          </w:p>
        </w:tc>
      </w:tr>
      <w:tr w:rsidR="001426C1" w:rsidTr="008C70AD">
        <w:tc>
          <w:tcPr>
            <w:tcW w:w="1612" w:type="dxa"/>
          </w:tcPr>
          <w:p w:rsidR="001426C1" w:rsidRDefault="00C570BC" w:rsidP="007902E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 w:rsidRPr="00C570BC">
              <w:rPr>
                <w:rFonts w:ascii="Times New Roman" w:hAnsi="Times New Roman" w:cs="Times New Roman"/>
                <w:sz w:val="24"/>
                <w:szCs w:val="24"/>
              </w:rPr>
              <w:t xml:space="preserve">Грант на участь у навчальних </w:t>
            </w:r>
            <w:proofErr w:type="gramStart"/>
            <w:r w:rsidRPr="00C570BC">
              <w:rPr>
                <w:rFonts w:ascii="Times New Roman" w:hAnsi="Times New Roman" w:cs="Times New Roman"/>
                <w:sz w:val="24"/>
                <w:szCs w:val="24"/>
              </w:rPr>
              <w:t>заходах</w:t>
            </w:r>
            <w:proofErr w:type="gramEnd"/>
          </w:p>
        </w:tc>
        <w:tc>
          <w:tcPr>
            <w:tcW w:w="1791" w:type="dxa"/>
          </w:tcPr>
          <w:p w:rsidR="00C570BC" w:rsidRDefault="00C570BC" w:rsidP="00C570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сума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6C1" w:rsidRDefault="00C570BC" w:rsidP="00C570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дол</w:t>
            </w:r>
            <w:r w:rsidRPr="0079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</w:t>
            </w:r>
          </w:p>
        </w:tc>
        <w:tc>
          <w:tcPr>
            <w:tcW w:w="3124" w:type="dxa"/>
          </w:tcPr>
          <w:p w:rsidR="001426C1" w:rsidRPr="007F1DDF" w:rsidRDefault="00C570BC" w:rsidP="007902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Дозволяє організації посилити свій потенціал завдяки участі у спеціалізованих заходах, присвячених темам організаційного розвитку.</w:t>
            </w:r>
          </w:p>
        </w:tc>
        <w:tc>
          <w:tcPr>
            <w:tcW w:w="4247" w:type="dxa"/>
          </w:tcPr>
          <w:p w:rsidR="001426C1" w:rsidRPr="007F1DDF" w:rsidRDefault="00C570BC" w:rsidP="007902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отримання такого гранту необхідно провести самооцінку з організаційного розвитку (скористатися </w:t>
            </w:r>
            <w:proofErr w:type="spellStart"/>
            <w:r w:rsidRPr="007F1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Pr="007F1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інструментом самооцінки на сайті ІСАР Єднання); скласти план розвитку та надати обґрунтування необхідності участі у заході відповідно до плану розвитку організації. До заявки докласти детальну інформацію про сам навчальний захід (програма, організатори, ведучі/тренери тощо), а також підтвердження організаторів про прийняття заявника на участь у заході та про подальший супровід.</w:t>
            </w:r>
            <w:r w:rsidR="007F1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1DDF" w:rsidRPr="007F1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Самооцінка, результати якої поєднуються до заявки, повинна бути проведена щонайпізніше за півроку до дня подачі заявки на цей вид гранту.</w:t>
            </w:r>
          </w:p>
        </w:tc>
      </w:tr>
    </w:tbl>
    <w:p w:rsidR="007902EC" w:rsidRPr="00C570BC" w:rsidRDefault="007902EC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УВАГА! </w:t>
      </w:r>
      <w:r w:rsidRPr="008C70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Порядок подання заявок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Для того, щоб отримати грант з організаційного розвитку, необхідно: </w:t>
      </w: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зареєструвати ОГС на сайті ІСАР Єднання: </w:t>
      </w:r>
      <w:hyperlink r:id="rId13" w:history="1">
        <w:r w:rsidRPr="00940C82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Pr="00940C8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940C82">
          <w:rPr>
            <w:rStyle w:val="a3"/>
            <w:rFonts w:ascii="Times New Roman" w:hAnsi="Times New Roman" w:cs="Times New Roman"/>
            <w:sz w:val="24"/>
            <w:szCs w:val="24"/>
          </w:rPr>
          <w:t>ednannia</w:t>
        </w:r>
        <w:r w:rsidRPr="00940C8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940C82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r w:rsidRPr="00940C8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940C82">
          <w:rPr>
            <w:rStyle w:val="a3"/>
            <w:rFonts w:ascii="Times New Roman" w:hAnsi="Times New Roman" w:cs="Times New Roman"/>
            <w:sz w:val="24"/>
            <w:szCs w:val="24"/>
          </w:rPr>
          <w:t>reestratsiya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самооцінку рівня розвитку ОГС та заповнити результати у робочому кабінеті ОГС (у робочому кабінеті ОГС на сайті ІСАР Єднання); </w:t>
      </w: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заповнити Заявку (у робочому кабінеті ОГС на сайті ІСАР Єднання);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заповнити або </w:t>
      </w:r>
      <w:proofErr w:type="spellStart"/>
      <w:r w:rsidRPr="008C70AD">
        <w:rPr>
          <w:rFonts w:ascii="Times New Roman" w:hAnsi="Times New Roman" w:cs="Times New Roman"/>
          <w:sz w:val="24"/>
          <w:szCs w:val="24"/>
          <w:lang w:val="uk-UA"/>
        </w:rPr>
        <w:t>підвантажити</w:t>
      </w:r>
      <w:proofErr w:type="spellEnd"/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додатки до Заявки (у робочому кабінеті ОГС на сайті ІСАР Єднання).</w:t>
      </w: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>Форми Заявки та Додатків додаються до запрошення (додається в електронному форматі):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Pr="008C70AD">
        <w:rPr>
          <w:rFonts w:ascii="Times New Roman" w:hAnsi="Times New Roman" w:cs="Times New Roman"/>
          <w:sz w:val="24"/>
          <w:szCs w:val="24"/>
        </w:rPr>
        <w:t>A</w:t>
      </w: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 «Результат самооцінки рівня розвитку ОГС»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Додаток Б «Меморандум про наміри щодо співпраці», укладений між ОГС та Провайдером, який переміг у тендерному відборі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Додаток В «Результати зовнішньої оцінки рівня розвитку ОГС з планом ОР та рекомендаціями Провайдера»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>Додаток Г «Детальна інформація про групу організацій (включаючи організаціюкуратора)»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Додаток Д «Інструмент оцінки </w:t>
      </w:r>
      <w:proofErr w:type="spellStart"/>
      <w:r w:rsidRPr="008C70AD">
        <w:rPr>
          <w:rFonts w:ascii="Times New Roman" w:hAnsi="Times New Roman" w:cs="Times New Roman"/>
          <w:sz w:val="24"/>
          <w:szCs w:val="24"/>
          <w:lang w:val="uk-UA"/>
        </w:rPr>
        <w:t>адвокаційної</w:t>
      </w:r>
      <w:proofErr w:type="spellEnd"/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 спроможності»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Додаток Е «Запрошення від партнерської сторони та програма навчального візиту»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 xml:space="preserve">Додаток Є «Підтвердження організаторів про прийняття заявника на участь у заході». </w:t>
      </w:r>
    </w:p>
    <w:p w:rsidR="008C70AD" w:rsidRPr="008C70AD" w:rsidRDefault="008C70AD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8C70AD">
        <w:rPr>
          <w:rFonts w:ascii="Times New Roman" w:hAnsi="Times New Roman" w:cs="Times New Roman"/>
          <w:sz w:val="24"/>
          <w:szCs w:val="24"/>
          <w:lang w:val="uk-UA"/>
        </w:rPr>
        <w:t>Додаток Ж «План організаційного розвитку»</w:t>
      </w:r>
    </w:p>
    <w:p w:rsidR="008C70AD" w:rsidRDefault="008C70AD" w:rsidP="00790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C70AD" w:rsidRDefault="008C70AD" w:rsidP="008C70AD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C95D636" wp14:editId="5A6BF574">
            <wp:extent cx="4399561" cy="202474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1122" t="60431" r="30366" b="8060"/>
                    <a:stretch/>
                  </pic:blipFill>
                  <pic:spPr bwMode="auto">
                    <a:xfrm>
                      <a:off x="0" y="0"/>
                      <a:ext cx="4437405" cy="204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0AD" w:rsidRPr="00DA4E88" w:rsidRDefault="00DA4E88" w:rsidP="00DA4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E88">
        <w:rPr>
          <w:rFonts w:ascii="Times New Roman" w:hAnsi="Times New Roman" w:cs="Times New Roman"/>
          <w:sz w:val="24"/>
          <w:szCs w:val="24"/>
          <w:lang w:val="uk-UA"/>
        </w:rPr>
        <w:t xml:space="preserve">Питання стосовно цього конкурсу можна надсилати електронною поштою на адресу: </w:t>
      </w:r>
      <w:hyperlink r:id="rId15" w:history="1">
        <w:r w:rsidRPr="00DA4E8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grant@ednannia.ua</w:t>
        </w:r>
      </w:hyperlink>
      <w:r w:rsidRPr="00DA4E88">
        <w:rPr>
          <w:rFonts w:ascii="Times New Roman" w:hAnsi="Times New Roman" w:cs="Times New Roman"/>
          <w:sz w:val="24"/>
          <w:szCs w:val="24"/>
          <w:lang w:val="uk-UA"/>
        </w:rPr>
        <w:t xml:space="preserve">  ІСАР Єднання періодично розміщатиме узагальнені відповіді на отримані питання на своєму сайті.</w:t>
      </w:r>
    </w:p>
    <w:p w:rsidR="00DA4E88" w:rsidRPr="00DA4E88" w:rsidRDefault="00DA4E88" w:rsidP="00DA4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0AD" w:rsidRPr="007A5F4C" w:rsidRDefault="008C70AD" w:rsidP="008C7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4E88">
        <w:rPr>
          <w:rFonts w:ascii="Times New Roman" w:hAnsi="Times New Roman" w:cs="Times New Roman"/>
          <w:sz w:val="24"/>
          <w:szCs w:val="24"/>
          <w:lang w:val="uk-UA"/>
        </w:rPr>
        <w:t xml:space="preserve">Більше про конкурси </w:t>
      </w:r>
      <w:r w:rsidRPr="00DA4E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ІСАР Єднання</w:t>
      </w:r>
      <w:r w:rsidRPr="00DA4E88">
        <w:rPr>
          <w:rFonts w:ascii="Times New Roman" w:hAnsi="Times New Roman" w:cs="Times New Roman"/>
          <w:sz w:val="24"/>
          <w:szCs w:val="24"/>
          <w:lang w:val="uk-UA"/>
        </w:rPr>
        <w:t xml:space="preserve"> за посиланням</w:t>
      </w:r>
      <w:r w:rsidRPr="00DA4E88">
        <w:rPr>
          <w:sz w:val="24"/>
          <w:szCs w:val="24"/>
        </w:rPr>
        <w:t xml:space="preserve"> </w:t>
      </w:r>
      <w:hyperlink r:id="rId16" w:history="1">
        <w:r w:rsidRPr="00DA4E8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http://ednannia.ua/</w:t>
        </w:r>
      </w:hyperlink>
      <w:r>
        <w:rPr>
          <w:rFonts w:ascii="Times New Roman" w:hAnsi="Times New Roman" w:cs="Times New Roman"/>
          <w:sz w:val="26"/>
          <w:szCs w:val="26"/>
          <w:lang w:val="uk-UA"/>
        </w:rPr>
        <w:t xml:space="preserve">.  </w:t>
      </w:r>
    </w:p>
    <w:p w:rsidR="008C70AD" w:rsidRPr="007A5F4C" w:rsidRDefault="008C70AD" w:rsidP="008C70A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sk-SK"/>
        </w:rPr>
      </w:pP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17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88" w:rsidRDefault="00DA4E88" w:rsidP="008C70AD">
      <w:pPr>
        <w:spacing w:after="0" w:line="240" w:lineRule="auto"/>
      </w:pPr>
      <w:r>
        <w:separator/>
      </w:r>
    </w:p>
  </w:endnote>
  <w:endnote w:type="continuationSeparator" w:id="0">
    <w:p w:rsidR="00DA4E88" w:rsidRDefault="00DA4E88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88" w:rsidRDefault="00DA4E88" w:rsidP="008C70AD">
      <w:pPr>
        <w:spacing w:after="0" w:line="240" w:lineRule="auto"/>
      </w:pPr>
      <w:r>
        <w:separator/>
      </w:r>
    </w:p>
  </w:footnote>
  <w:footnote w:type="continuationSeparator" w:id="0">
    <w:p w:rsidR="00DA4E88" w:rsidRDefault="00DA4E88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DA4E88" w:rsidRDefault="00DA4E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400">
          <w:rPr>
            <w:noProof/>
          </w:rPr>
          <w:t>4</w:t>
        </w:r>
        <w:r>
          <w:fldChar w:fldCharType="end"/>
        </w:r>
      </w:p>
    </w:sdtContent>
  </w:sdt>
  <w:p w:rsidR="00DA4E88" w:rsidRDefault="00DA4E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76521"/>
    <w:rsid w:val="001426C1"/>
    <w:rsid w:val="005A4400"/>
    <w:rsid w:val="007902EC"/>
    <w:rsid w:val="007F1DDF"/>
    <w:rsid w:val="00820674"/>
    <w:rsid w:val="008C70AD"/>
    <w:rsid w:val="00B85536"/>
    <w:rsid w:val="00C570BC"/>
    <w:rsid w:val="00DA4E88"/>
    <w:rsid w:val="00F119D3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nannia.ua/147-anonsi/12063-pryimaiemo-zaiavky-na-konkurs-hrantiv-z-orhanizatsiinoho-rozvytku" TargetMode="External"/><Relationship Id="rId13" Type="http://schemas.openxmlformats.org/officeDocument/2006/relationships/hyperlink" Target="http://ednannia.ua/reestratsiy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nannia.ua/our-programs-and-activities/rozvyvaiemo-hromadianske-suspilstvo" TargetMode="External"/><Relationship Id="rId12" Type="http://schemas.openxmlformats.org/officeDocument/2006/relationships/hyperlink" Target="http://ednannia.ua/our-programs-and-activities/12164-tablitsya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ednannia.ua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dnannia.ua/our-programs-and-activities/12164-tablitsy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rant@ednannia.ua" TargetMode="External"/><Relationship Id="rId10" Type="http://schemas.openxmlformats.org/officeDocument/2006/relationships/hyperlink" Target="http://ednannia.ua/images/Call_for_proposals_MARKETPLACE_202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8</cp:revision>
  <dcterms:created xsi:type="dcterms:W3CDTF">2021-12-13T13:12:00Z</dcterms:created>
  <dcterms:modified xsi:type="dcterms:W3CDTF">2021-12-13T14:05:00Z</dcterms:modified>
</cp:coreProperties>
</file>